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State the urgency with dates and records. Ask only for relief that can lawfully be considered before notice or a full hearing.</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